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EC542" w14:textId="77777777" w:rsidR="003814FB" w:rsidRDefault="008137E5">
      <w:pPr>
        <w:widowControl w:val="0"/>
        <w:pBdr>
          <w:top w:val="nil"/>
          <w:left w:val="nil"/>
          <w:bottom w:val="nil"/>
          <w:right w:val="nil"/>
          <w:between w:val="nil"/>
        </w:pBdr>
        <w:spacing w:after="0" w:line="276" w:lineRule="auto"/>
        <w:jc w:val="left"/>
      </w:pPr>
      <w:r>
        <w:pict w14:anchorId="23C09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5DF25F26" w14:textId="0B9E6D4F" w:rsidR="003814FB" w:rsidRDefault="00951511">
      <w:pPr>
        <w:pStyle w:val="Title"/>
        <w:jc w:val="right"/>
        <w:rPr>
          <w:b w:val="0"/>
          <w:sz w:val="24"/>
          <w:szCs w:val="24"/>
        </w:rPr>
      </w:pPr>
      <w:bookmarkStart w:id="0" w:name="_heading=h.gjdgxs" w:colFirst="0" w:colLast="0"/>
      <w:bookmarkEnd w:id="0"/>
      <w:r>
        <w:rPr>
          <w:b w:val="0"/>
          <w:sz w:val="24"/>
          <w:szCs w:val="24"/>
        </w:rPr>
        <w:t xml:space="preserve">Paper ID: </w:t>
      </w:r>
      <w:bookmarkStart w:id="1" w:name="_GoBack"/>
      <w:r>
        <w:rPr>
          <w:b w:val="0"/>
          <w:sz w:val="24"/>
          <w:szCs w:val="24"/>
        </w:rPr>
        <w:t>CMT-1</w:t>
      </w:r>
      <w:r w:rsidR="00AE6C98">
        <w:rPr>
          <w:b w:val="0"/>
          <w:sz w:val="24"/>
          <w:szCs w:val="24"/>
        </w:rPr>
        <w:t>47</w:t>
      </w:r>
      <w:bookmarkEnd w:id="1"/>
    </w:p>
    <w:p w14:paraId="36391D7B" w14:textId="77777777" w:rsidR="003814FB" w:rsidRDefault="003814FB"/>
    <w:p w14:paraId="1B695390" w14:textId="11D02C9A" w:rsidR="007F2CCE" w:rsidRPr="007F2CCE" w:rsidRDefault="007F2CCE" w:rsidP="007F2CCE">
      <w:pPr>
        <w:spacing w:after="0" w:line="240" w:lineRule="auto"/>
        <w:contextualSpacing/>
        <w:jc w:val="center"/>
        <w:rPr>
          <w:rFonts w:eastAsiaTheme="majorEastAsia" w:cstheme="majorBidi"/>
          <w:b/>
          <w:spacing w:val="-10"/>
          <w:kern w:val="28"/>
          <w:sz w:val="28"/>
          <w:szCs w:val="56"/>
          <w:lang w:bidi="si-LK"/>
        </w:rPr>
      </w:pPr>
      <w:bookmarkStart w:id="2" w:name="_heading=h.30j0zll" w:colFirst="0" w:colLast="0"/>
      <w:bookmarkEnd w:id="2"/>
      <w:r w:rsidRPr="007F2CCE">
        <w:rPr>
          <w:rFonts w:eastAsiaTheme="majorEastAsia" w:cstheme="majorBidi"/>
          <w:b/>
          <w:spacing w:val="-10"/>
          <w:kern w:val="28"/>
          <w:sz w:val="28"/>
          <w:szCs w:val="56"/>
          <w:lang w:bidi="si-LK"/>
        </w:rPr>
        <w:t>Impact of thermoelectric panels on energy harvesting and thermal management of a rechargeable battery pack</w:t>
      </w:r>
      <w:r w:rsidR="006C385C">
        <w:rPr>
          <w:rFonts w:eastAsiaTheme="majorEastAsia" w:cstheme="majorBidi"/>
          <w:b/>
          <w:spacing w:val="-10"/>
          <w:kern w:val="28"/>
          <w:sz w:val="28"/>
          <w:szCs w:val="56"/>
          <w:lang w:bidi="si-LK"/>
        </w:rPr>
        <w:t xml:space="preserve"> </w:t>
      </w:r>
    </w:p>
    <w:p w14:paraId="7901C3C6" w14:textId="1A85C444" w:rsidR="003814FB" w:rsidRDefault="00A507BF">
      <w:pPr>
        <w:pStyle w:val="Heading2"/>
        <w:spacing w:after="0" w:line="240" w:lineRule="auto"/>
        <w:rPr>
          <w:vertAlign w:val="superscript"/>
        </w:rPr>
      </w:pPr>
      <w:r>
        <w:rPr>
          <w:u w:val="single"/>
        </w:rPr>
        <w:t>M.G.R. Shyamamala</w:t>
      </w:r>
      <w:r w:rsidR="00951511">
        <w:rPr>
          <w:u w:val="single"/>
          <w:vertAlign w:val="superscript"/>
        </w:rPr>
        <w:t>1</w:t>
      </w:r>
      <w:r>
        <w:t>, N.D</w:t>
      </w:r>
      <w:r w:rsidR="00951511">
        <w:t xml:space="preserve">. </w:t>
      </w:r>
      <w:r>
        <w:t>Subasinghe</w:t>
      </w:r>
      <w:r w:rsidR="00951511">
        <w:rPr>
          <w:vertAlign w:val="superscript"/>
        </w:rPr>
        <w:t>1*</w:t>
      </w:r>
    </w:p>
    <w:p w14:paraId="53C074F8" w14:textId="3B4BA646" w:rsidR="003814FB" w:rsidRDefault="00951511">
      <w:pPr>
        <w:pStyle w:val="Heading3"/>
        <w:spacing w:before="240"/>
        <w:rPr>
          <w:rFonts w:eastAsia="Times New Roman" w:cs="Times New Roman"/>
          <w:sz w:val="22"/>
          <w:szCs w:val="22"/>
        </w:rPr>
      </w:pPr>
      <w:r>
        <w:rPr>
          <w:rFonts w:eastAsia="Times New Roman" w:cs="Times New Roman"/>
          <w:sz w:val="22"/>
          <w:szCs w:val="22"/>
          <w:vertAlign w:val="superscript"/>
        </w:rPr>
        <w:t>1</w:t>
      </w:r>
      <w:r w:rsidR="00A507BF">
        <w:rPr>
          <w:rFonts w:eastAsia="Times New Roman" w:cs="Times New Roman"/>
          <w:sz w:val="22"/>
          <w:szCs w:val="22"/>
        </w:rPr>
        <w:t>National institute of fundamental studies, Kandy, Sri Lanka</w:t>
      </w:r>
    </w:p>
    <w:p w14:paraId="1954399E" w14:textId="5874DB57" w:rsidR="003814FB" w:rsidRDefault="008137E5">
      <w:pPr>
        <w:pBdr>
          <w:top w:val="nil"/>
          <w:left w:val="nil"/>
          <w:bottom w:val="nil"/>
          <w:right w:val="nil"/>
          <w:between w:val="nil"/>
        </w:pBdr>
        <w:spacing w:before="240" w:after="240" w:line="240" w:lineRule="auto"/>
        <w:jc w:val="center"/>
        <w:rPr>
          <w:i/>
          <w:color w:val="000000"/>
          <w:sz w:val="22"/>
          <w:szCs w:val="22"/>
        </w:rPr>
      </w:pPr>
      <w:hyperlink r:id="rId7">
        <w:r w:rsidR="00951511">
          <w:rPr>
            <w:i/>
            <w:color w:val="000000"/>
            <w:sz w:val="22"/>
            <w:szCs w:val="22"/>
            <w:vertAlign w:val="superscript"/>
          </w:rPr>
          <w:t>*</w:t>
        </w:r>
      </w:hyperlink>
      <w:r w:rsidR="00A507BF">
        <w:rPr>
          <w:i/>
          <w:color w:val="000000"/>
          <w:sz w:val="22"/>
          <w:szCs w:val="22"/>
        </w:rPr>
        <w:t>deepal.su</w:t>
      </w:r>
      <w:r w:rsidR="00951511">
        <w:rPr>
          <w:i/>
          <w:color w:val="000000"/>
          <w:sz w:val="22"/>
          <w:szCs w:val="22"/>
        </w:rPr>
        <w:t>@</w:t>
      </w:r>
      <w:r w:rsidR="00A507BF">
        <w:rPr>
          <w:i/>
          <w:color w:val="000000"/>
          <w:sz w:val="22"/>
          <w:szCs w:val="22"/>
        </w:rPr>
        <w:t>nifs.ac.lk</w:t>
      </w:r>
    </w:p>
    <w:p w14:paraId="5F669F9B" w14:textId="7F05F74A" w:rsidR="007F2CCE" w:rsidRPr="007F2CCE" w:rsidRDefault="007F2CCE" w:rsidP="007F2CCE">
      <w:pPr>
        <w:spacing w:after="0" w:line="240" w:lineRule="auto"/>
        <w:rPr>
          <w:rFonts w:eastAsiaTheme="minorHAnsi" w:cstheme="minorHAnsi"/>
          <w:bCs/>
          <w:szCs w:val="22"/>
          <w:lang w:bidi="si-LK"/>
        </w:rPr>
      </w:pPr>
      <w:bookmarkStart w:id="3" w:name="_heading=h.1fob9te" w:colFirst="0" w:colLast="0"/>
      <w:bookmarkEnd w:id="3"/>
      <w:r w:rsidRPr="007F2CCE">
        <w:rPr>
          <w:rFonts w:eastAsiaTheme="minorHAnsi" w:cstheme="minorHAnsi"/>
          <w:bCs/>
          <w:szCs w:val="22"/>
          <w:lang w:bidi="si-LK"/>
        </w:rPr>
        <w:t>With the exponential rise in the adoption of electric vehicles (EVs) globally, it is imperative to extend the recharge intervals of the battery pack. Rechargeable lithium-ion battery packs, commonly used in EVs, generate heat during operation. This heat can degrade performance and reduce lifespan of the battery unless properly managed. Novelty of this work is, that we aim to extend recharge intervals of the battery by trickle charging from thermoelectric (TE) panels attached to the battery pack using the waste heat. The TE panel employed in this study is TEC1-12706 module, composed of bismuth telluride (Bi</w:t>
      </w:r>
      <w:r w:rsidRPr="007F2CCE">
        <w:rPr>
          <w:rFonts w:eastAsiaTheme="minorHAnsi" w:cstheme="minorHAnsi"/>
          <w:bCs/>
          <w:szCs w:val="22"/>
          <w:vertAlign w:val="subscript"/>
          <w:lang w:bidi="si-LK"/>
        </w:rPr>
        <w:t>2</w:t>
      </w:r>
      <w:r w:rsidRPr="007F2CCE">
        <w:rPr>
          <w:rFonts w:eastAsiaTheme="minorHAnsi" w:cstheme="minorHAnsi"/>
          <w:bCs/>
          <w:szCs w:val="22"/>
          <w:lang w:bidi="si-LK"/>
        </w:rPr>
        <w:t>Ti</w:t>
      </w:r>
      <w:r w:rsidRPr="007F2CCE">
        <w:rPr>
          <w:rFonts w:eastAsiaTheme="minorHAnsi" w:cstheme="minorHAnsi"/>
          <w:bCs/>
          <w:szCs w:val="22"/>
          <w:vertAlign w:val="subscript"/>
          <w:lang w:bidi="si-LK"/>
        </w:rPr>
        <w:t>3</w:t>
      </w:r>
      <w:r w:rsidRPr="007F2CCE">
        <w:rPr>
          <w:rFonts w:eastAsiaTheme="minorHAnsi" w:cstheme="minorHAnsi"/>
          <w:bCs/>
          <w:szCs w:val="22"/>
          <w:lang w:bidi="si-LK"/>
        </w:rPr>
        <w:t>) based semiconductors. These panels are integrated into the battery surface using thermal paste, where they harness the thermal gradient between the battery and ambient environment. These panels will convert waste heat from the battery pack into electricity, providing an additional charge, extending the recharge intervals. It is also important to maintain the temperature of a battery pack below 45</w:t>
      </w:r>
      <w:r w:rsidRPr="007F2CCE">
        <w:rPr>
          <w:rFonts w:eastAsiaTheme="minorHAnsi"/>
          <w:bCs/>
          <w:szCs w:val="22"/>
          <w:lang w:bidi="si-LK"/>
        </w:rPr>
        <w:t>℃</w:t>
      </w:r>
      <w:r w:rsidRPr="007F2CCE">
        <w:rPr>
          <w:rFonts w:eastAsiaTheme="minorHAnsi" w:cstheme="minorHAnsi"/>
          <w:bCs/>
          <w:szCs w:val="22"/>
          <w:lang w:bidi="si-LK"/>
        </w:rPr>
        <w:t xml:space="preserve"> in order to maintain the health of the rechargeable battery cells. The primary objective of this research is to monitor and maintain the cooling efficiency of the battery pack, after attaching the TE panels. Heat dissipation rate for the battery pack and heat dissipation rate after attaching the TE panels were calculated after measuring necessary parameters experimentally. Algebraic expressions were derived to model the heat losses before and after the attachment of TE panels. The results indicate that integrating TE panels with the battery pack only slightly reduced the heat dissipation rate from </w:t>
      </w:r>
      <w:r w:rsidRPr="007F2CCE">
        <w:rPr>
          <w:rFonts w:eastAsiaTheme="minorEastAsia"/>
          <w:lang w:bidi="si-LK"/>
        </w:rPr>
        <w:t>2.8 J s</w:t>
      </w:r>
      <w:r w:rsidRPr="007F2CCE">
        <w:rPr>
          <w:rFonts w:eastAsiaTheme="minorEastAsia"/>
          <w:vertAlign w:val="superscript"/>
          <w:lang w:bidi="si-LK"/>
        </w:rPr>
        <w:t xml:space="preserve">-1 </w:t>
      </w:r>
      <w:r w:rsidRPr="007F2CCE">
        <w:rPr>
          <w:rFonts w:eastAsiaTheme="minorEastAsia"/>
          <w:lang w:bidi="si-LK"/>
        </w:rPr>
        <w:t>to 2.5 J s</w:t>
      </w:r>
      <w:r w:rsidRPr="007F2CCE">
        <w:rPr>
          <w:rFonts w:eastAsiaTheme="minorEastAsia"/>
          <w:vertAlign w:val="superscript"/>
          <w:lang w:bidi="si-LK"/>
        </w:rPr>
        <w:t>-1</w:t>
      </w:r>
      <w:r w:rsidRPr="007F2CCE">
        <w:rPr>
          <w:rFonts w:eastAsiaTheme="minorEastAsia"/>
          <w:lang w:bidi="si-LK"/>
        </w:rPr>
        <w:t>, still maintaining sufficient cooling. This</w:t>
      </w:r>
      <w:r w:rsidRPr="007F2CCE">
        <w:rPr>
          <w:rFonts w:eastAsiaTheme="minorHAnsi" w:cstheme="minorBidi"/>
          <w:szCs w:val="22"/>
          <w:lang w:bidi="si-LK"/>
        </w:rPr>
        <w:t xml:space="preserve"> suggests that the energy can be safely harvested from the battery pack using TE panels, </w:t>
      </w:r>
      <w:r w:rsidRPr="007F2CCE">
        <w:rPr>
          <w:rFonts w:eastAsiaTheme="minorHAnsi" w:cstheme="minorBidi"/>
          <w:color w:val="000000" w:themeColor="text1"/>
          <w:szCs w:val="22"/>
          <w:lang w:bidi="si-LK"/>
        </w:rPr>
        <w:t xml:space="preserve">while maintaining </w:t>
      </w:r>
      <w:r w:rsidRPr="007F2CCE">
        <w:rPr>
          <w:rFonts w:eastAsiaTheme="minorHAnsi" w:cstheme="minorBidi"/>
          <w:szCs w:val="22"/>
          <w:lang w:bidi="si-LK"/>
        </w:rPr>
        <w:t xml:space="preserve">the battery pack within the safe temperature range. </w:t>
      </w:r>
      <w:r>
        <w:rPr>
          <w:rFonts w:eastAsiaTheme="minorHAnsi" w:cstheme="minorBidi"/>
          <w:szCs w:val="22"/>
          <w:lang w:bidi="si-LK"/>
        </w:rPr>
        <w:t xml:space="preserve"> </w:t>
      </w:r>
    </w:p>
    <w:p w14:paraId="799DF8B8" w14:textId="656891FF" w:rsidR="003814FB" w:rsidRDefault="00951511">
      <w:pPr>
        <w:pBdr>
          <w:top w:val="nil"/>
          <w:left w:val="nil"/>
          <w:bottom w:val="nil"/>
          <w:right w:val="nil"/>
          <w:between w:val="nil"/>
        </w:pBdr>
        <w:spacing w:before="240" w:after="120" w:line="240" w:lineRule="auto"/>
        <w:jc w:val="left"/>
        <w:rPr>
          <w:i/>
          <w:color w:val="000000"/>
        </w:rPr>
      </w:pPr>
      <w:r>
        <w:rPr>
          <w:b/>
          <w:color w:val="000000"/>
        </w:rPr>
        <w:t>Keywords:</w:t>
      </w:r>
      <w:r w:rsidR="007F2CCE" w:rsidRPr="00240297">
        <w:rPr>
          <w:i/>
          <w:iCs/>
        </w:rPr>
        <w:t xml:space="preserve"> </w:t>
      </w:r>
      <w:r w:rsidR="007F2CCE">
        <w:rPr>
          <w:i/>
          <w:iCs/>
        </w:rPr>
        <w:t>electric vehicles,</w:t>
      </w:r>
      <w:r w:rsidR="007F2CCE" w:rsidRPr="007E5096">
        <w:rPr>
          <w:i/>
          <w:iCs/>
        </w:rPr>
        <w:t xml:space="preserve"> </w:t>
      </w:r>
      <w:r w:rsidR="007F2CCE">
        <w:rPr>
          <w:i/>
          <w:iCs/>
        </w:rPr>
        <w:t xml:space="preserve">heat dissipation rate, rechargeable lithium-ion battery pack, thermoelectric panels, waste heat      </w:t>
      </w:r>
    </w:p>
    <w:p w14:paraId="3C5BAB1F" w14:textId="3BE600A3" w:rsidR="003814FB" w:rsidRDefault="003814FB">
      <w:pPr>
        <w:pBdr>
          <w:top w:val="nil"/>
          <w:left w:val="nil"/>
          <w:bottom w:val="nil"/>
          <w:right w:val="nil"/>
          <w:between w:val="nil"/>
        </w:pBdr>
        <w:spacing w:before="240" w:after="120" w:line="240" w:lineRule="auto"/>
        <w:jc w:val="left"/>
        <w:rPr>
          <w:i/>
          <w:color w:val="000000"/>
          <w:sz w:val="22"/>
          <w:szCs w:val="22"/>
        </w:rPr>
      </w:pPr>
    </w:p>
    <w:sectPr w:rsidR="003814FB">
      <w:headerReference w:type="even" r:id="rId8"/>
      <w:headerReference w:type="default" r:id="rId9"/>
      <w:footerReference w:type="even" r:id="rId10"/>
      <w:footerReference w:type="default" r:id="rId11"/>
      <w:headerReference w:type="first" r:id="rId12"/>
      <w:footerReference w:type="first" r:id="rId13"/>
      <w:pgSz w:w="11906" w:h="16838"/>
      <w:pgMar w:top="1728" w:right="1440" w:bottom="1440" w:left="2160" w:header="706" w:footer="706"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D14F" w14:textId="77777777" w:rsidR="008137E5" w:rsidRDefault="008137E5">
      <w:pPr>
        <w:spacing w:after="0" w:line="240" w:lineRule="auto"/>
      </w:pPr>
      <w:r>
        <w:separator/>
      </w:r>
    </w:p>
  </w:endnote>
  <w:endnote w:type="continuationSeparator" w:id="0">
    <w:p w14:paraId="465C0038" w14:textId="77777777" w:rsidR="008137E5" w:rsidRDefault="0081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C9BDD" w14:textId="77777777" w:rsidR="003814FB" w:rsidRDefault="003814F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F95E" w14:textId="77777777" w:rsidR="003814FB" w:rsidRDefault="003814FB">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CDFA" w14:textId="77777777" w:rsidR="003814FB" w:rsidRDefault="003814F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17582" w14:textId="77777777" w:rsidR="008137E5" w:rsidRDefault="008137E5">
      <w:pPr>
        <w:spacing w:after="0" w:line="240" w:lineRule="auto"/>
      </w:pPr>
      <w:r>
        <w:separator/>
      </w:r>
    </w:p>
  </w:footnote>
  <w:footnote w:type="continuationSeparator" w:id="0">
    <w:p w14:paraId="6DE281AB" w14:textId="77777777" w:rsidR="008137E5" w:rsidRDefault="00813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99A7" w14:textId="77777777" w:rsidR="003814FB" w:rsidRDefault="003814F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BD66" w14:textId="77777777" w:rsidR="003814FB" w:rsidRDefault="008137E5">
    <w:pPr>
      <w:pBdr>
        <w:top w:val="nil"/>
        <w:left w:val="nil"/>
        <w:bottom w:val="nil"/>
        <w:right w:val="nil"/>
        <w:between w:val="nil"/>
      </w:pBdr>
      <w:tabs>
        <w:tab w:val="center" w:pos="4513"/>
        <w:tab w:val="right" w:pos="9026"/>
      </w:tabs>
      <w:spacing w:after="0" w:line="240" w:lineRule="auto"/>
      <w:rPr>
        <w:i/>
        <w:color w:val="000000"/>
        <w:sz w:val="16"/>
        <w:szCs w:val="16"/>
      </w:rPr>
    </w:pPr>
    <w:r>
      <w:rPr>
        <w:i/>
        <w:color w:val="000000"/>
        <w:sz w:val="16"/>
        <w:szCs w:val="16"/>
      </w:rPr>
      <w:pict w14:anchorId="58B7B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398" o:spid="_x0000_s2049" type="#_x0000_t136" style="position:absolute;left:0;text-align:left;margin-left:0;margin-top:0;width:549.85pt;height:35.45pt;rotation:315;z-index:-251657728;visibility:visible;mso-position-horizontal:center;mso-position-horizontal-relative:margin;mso-position-vertical:center;mso-position-vertical-relative:margin" o:allowincell="f" fillcolor="#7f7f7f" stroked="f">
          <v:textpath style="font-family:&quot;&amp;quot&quot;;font-size:1pt" string="Camera Ready Copy_ YSCMR-2024"/>
          <w10:wrap anchorx="margin" anchory="margin"/>
        </v:shape>
      </w:pict>
    </w:r>
    <w:r w:rsidR="00951511">
      <w:rPr>
        <w:i/>
        <w:color w:val="000000"/>
        <w:sz w:val="16"/>
        <w:szCs w:val="16"/>
      </w:rPr>
      <w:t>ISSN/ISBN ***-****</w:t>
    </w:r>
    <w:r w:rsidR="00951511">
      <w:rPr>
        <w:noProof/>
        <w:lang w:val="en-US"/>
      </w:rPr>
      <w:drawing>
        <wp:anchor distT="0" distB="0" distL="114300" distR="114300" simplePos="0" relativeHeight="251656704" behindDoc="0" locked="0" layoutInCell="1" hidden="0" allowOverlap="1" wp14:anchorId="1AC9AAFF" wp14:editId="45B1B0D5">
          <wp:simplePos x="0" y="0"/>
          <wp:positionH relativeFrom="column">
            <wp:posOffset>4832823</wp:posOffset>
          </wp:positionH>
          <wp:positionV relativeFrom="paragraph">
            <wp:posOffset>7620</wp:posOffset>
          </wp:positionV>
          <wp:extent cx="817880" cy="455930"/>
          <wp:effectExtent l="0" t="0" r="0" b="0"/>
          <wp:wrapSquare wrapText="bothSides" distT="0" distB="0" distL="114300" distR="114300"/>
          <wp:docPr id="31" name="image2.png" descr="C:\Users\Admin\AppData\Local\Microsoft\Windows\INetCache\Content.Word\Logo-Coloured (1).png"/>
          <wp:cNvGraphicFramePr/>
          <a:graphic xmlns:a="http://schemas.openxmlformats.org/drawingml/2006/main">
            <a:graphicData uri="http://schemas.openxmlformats.org/drawingml/2006/picture">
              <pic:pic xmlns:pic="http://schemas.openxmlformats.org/drawingml/2006/picture">
                <pic:nvPicPr>
                  <pic:cNvPr id="0" name="image2.png" descr="C:\Users\Admin\AppData\Local\Microsoft\Windows\INetCache\Content.Word\Logo-Coloured (1).png"/>
                  <pic:cNvPicPr preferRelativeResize="0"/>
                </pic:nvPicPr>
                <pic:blipFill>
                  <a:blip r:embed="rId1"/>
                  <a:srcRect t="17997" r="176" b="23773"/>
                  <a:stretch>
                    <a:fillRect/>
                  </a:stretch>
                </pic:blipFill>
                <pic:spPr>
                  <a:xfrm>
                    <a:off x="0" y="0"/>
                    <a:ext cx="817880" cy="455930"/>
                  </a:xfrm>
                  <a:prstGeom prst="rect">
                    <a:avLst/>
                  </a:prstGeom>
                  <a:ln/>
                </pic:spPr>
              </pic:pic>
            </a:graphicData>
          </a:graphic>
        </wp:anchor>
      </w:drawing>
    </w:r>
  </w:p>
  <w:p w14:paraId="16F9E6F2" w14:textId="3C25B79F" w:rsidR="003814FB" w:rsidRDefault="00951511">
    <w:pPr>
      <w:pBdr>
        <w:top w:val="nil"/>
        <w:left w:val="nil"/>
        <w:bottom w:val="nil"/>
        <w:right w:val="nil"/>
        <w:between w:val="nil"/>
      </w:pBdr>
      <w:tabs>
        <w:tab w:val="center" w:pos="4513"/>
        <w:tab w:val="right" w:pos="9026"/>
      </w:tabs>
      <w:spacing w:after="0" w:line="240" w:lineRule="auto"/>
      <w:rPr>
        <w:i/>
        <w:color w:val="000000"/>
        <w:sz w:val="16"/>
        <w:szCs w:val="16"/>
      </w:rPr>
    </w:pPr>
    <w:r>
      <w:rPr>
        <w:i/>
        <w:color w:val="000000"/>
        <w:sz w:val="16"/>
        <w:szCs w:val="16"/>
      </w:rPr>
      <w:t>Young Scientists’ Conference Multidisciplinary Research (YSCMR)-202</w:t>
    </w:r>
    <w:r w:rsidR="00822AF8">
      <w:rPr>
        <w:i/>
        <w:color w:val="000000"/>
        <w:sz w:val="16"/>
        <w:szCs w:val="16"/>
      </w:rPr>
      <w:t>4</w:t>
    </w:r>
  </w:p>
  <w:p w14:paraId="0C1D932E" w14:textId="77777777" w:rsidR="003814FB" w:rsidRDefault="00951511">
    <w:pPr>
      <w:pBdr>
        <w:top w:val="nil"/>
        <w:left w:val="nil"/>
        <w:bottom w:val="nil"/>
        <w:right w:val="nil"/>
        <w:between w:val="nil"/>
      </w:pBdr>
      <w:tabs>
        <w:tab w:val="center" w:pos="4513"/>
        <w:tab w:val="right" w:pos="9026"/>
      </w:tabs>
      <w:spacing w:after="0" w:line="240" w:lineRule="auto"/>
      <w:rPr>
        <w:i/>
        <w:color w:val="000000"/>
        <w:sz w:val="16"/>
        <w:szCs w:val="16"/>
      </w:rPr>
    </w:pPr>
    <w:r>
      <w:rPr>
        <w:i/>
        <w:color w:val="000000"/>
        <w:sz w:val="16"/>
        <w:szCs w:val="16"/>
      </w:rPr>
      <w:t>Young Scientists’ Association, National Institute of Fundamental Studies, Sri Lanka</w:t>
    </w:r>
    <w:r>
      <w:rPr>
        <w:noProof/>
        <w:lang w:val="en-US"/>
      </w:rPr>
      <mc:AlternateContent>
        <mc:Choice Requires="wps">
          <w:drawing>
            <wp:anchor distT="0" distB="0" distL="114300" distR="114300" simplePos="0" relativeHeight="251657728" behindDoc="0" locked="0" layoutInCell="1" hidden="0" allowOverlap="1" wp14:anchorId="4CD9BE0F" wp14:editId="585D27C1">
              <wp:simplePos x="0" y="0"/>
              <wp:positionH relativeFrom="column">
                <wp:posOffset>4762500</wp:posOffset>
              </wp:positionH>
              <wp:positionV relativeFrom="paragraph">
                <wp:posOffset>0</wp:posOffset>
              </wp:positionV>
              <wp:extent cx="609600" cy="229870"/>
              <wp:effectExtent l="0" t="0" r="0" b="0"/>
              <wp:wrapNone/>
              <wp:docPr id="30" name="Rectangle 30"/>
              <wp:cNvGraphicFramePr/>
              <a:graphic xmlns:a="http://schemas.openxmlformats.org/drawingml/2006/main">
                <a:graphicData uri="http://schemas.microsoft.com/office/word/2010/wordprocessingShape">
                  <wps:wsp>
                    <wps:cNvSpPr/>
                    <wps:spPr>
                      <a:xfrm>
                        <a:off x="5045963" y="3669828"/>
                        <a:ext cx="600075" cy="220345"/>
                      </a:xfrm>
                      <a:prstGeom prst="rect">
                        <a:avLst/>
                      </a:prstGeom>
                      <a:noFill/>
                      <a:ln>
                        <a:noFill/>
                      </a:ln>
                    </wps:spPr>
                    <wps:txbx>
                      <w:txbxContent>
                        <w:p w14:paraId="08CAFCF2" w14:textId="77777777" w:rsidR="003814FB" w:rsidRDefault="003814F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D9BE0F" id="Rectangle 30" o:spid="_x0000_s1026" style="position:absolute;left:0;text-align:left;margin-left:375pt;margin-top:0;width:48pt;height:18.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" filled="f" stroked="f">
              <v:textbox inset="2.53958mm,1.2694mm,2.53958mm,1.2694mm">
                <w:txbxContent>
                  <w:p w14:paraId="08CAFCF2" w14:textId="77777777" w:rsidR="003814FB" w:rsidRDefault="003814FB">
                    <w:pPr>
                      <w:spacing w:line="258" w:lineRule="auto"/>
                      <w:textDirection w:val="btLr"/>
                    </w:pPr>
                  </w:p>
                </w:txbxContent>
              </v:textbox>
            </v:rect>
          </w:pict>
        </mc:Fallback>
      </mc:AlternateContent>
    </w:r>
  </w:p>
  <w:p w14:paraId="65A40734" w14:textId="0F0FA564" w:rsidR="003814FB" w:rsidRDefault="00822AF8">
    <w:pPr>
      <w:pBdr>
        <w:top w:val="nil"/>
        <w:left w:val="nil"/>
        <w:bottom w:val="nil"/>
        <w:right w:val="nil"/>
        <w:between w:val="nil"/>
      </w:pBdr>
      <w:tabs>
        <w:tab w:val="center" w:pos="4513"/>
        <w:tab w:val="right" w:pos="9026"/>
      </w:tabs>
      <w:spacing w:after="0" w:line="240" w:lineRule="auto"/>
      <w:rPr>
        <w:i/>
        <w:color w:val="000000"/>
        <w:sz w:val="16"/>
        <w:szCs w:val="16"/>
      </w:rPr>
    </w:pPr>
    <w:r>
      <w:rPr>
        <w:i/>
        <w:color w:val="000000"/>
        <w:sz w:val="16"/>
        <w:szCs w:val="16"/>
      </w:rPr>
      <w:t>27</w:t>
    </w:r>
    <w:r w:rsidR="008A3AAD">
      <w:rPr>
        <w:i/>
        <w:color w:val="000000"/>
        <w:sz w:val="16"/>
        <w:szCs w:val="16"/>
        <w:vertAlign w:val="superscript"/>
      </w:rPr>
      <w:t xml:space="preserve">th </w:t>
    </w:r>
    <w:r w:rsidR="008A3AAD">
      <w:rPr>
        <w:i/>
        <w:color w:val="000000"/>
        <w:sz w:val="16"/>
        <w:szCs w:val="16"/>
      </w:rPr>
      <w:t>of November 202</w:t>
    </w:r>
    <w:r>
      <w:rPr>
        <w:i/>
        <w:color w:val="000000"/>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4476" w14:textId="77777777" w:rsidR="003814FB" w:rsidRDefault="003814FB">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FB"/>
    <w:rsid w:val="003338AC"/>
    <w:rsid w:val="003814FB"/>
    <w:rsid w:val="006C385C"/>
    <w:rsid w:val="007F2CCE"/>
    <w:rsid w:val="008137E5"/>
    <w:rsid w:val="00822AF8"/>
    <w:rsid w:val="00891FCA"/>
    <w:rsid w:val="008A3AAD"/>
    <w:rsid w:val="0094090E"/>
    <w:rsid w:val="00951511"/>
    <w:rsid w:val="00A507BF"/>
    <w:rsid w:val="00AE6C98"/>
    <w:rsid w:val="00B74526"/>
    <w:rsid w:val="00E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FEACD0"/>
  <w15:docId w15:val="{5853AC04-3030-4E8A-9DF3-81D5B02A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5 Normal"/>
    <w:qFormat/>
    <w:rsid w:val="00517908"/>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eastAsiaTheme="minorEastAsia"/>
      <w:i/>
      <w:lang w:val="en-US"/>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sz w:val="22"/>
      <w:lang w:val="en-US" w:eastAsia="de-DE"/>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lang w:val="en-US"/>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lang w:val="en-US"/>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lang w:val="en-US"/>
    </w:rPr>
  </w:style>
  <w:style w:type="paragraph" w:customStyle="1" w:styleId="IEEEAuthorName">
    <w:name w:val="IEEE Author Name"/>
    <w:basedOn w:val="Normal"/>
    <w:next w:val="Normal"/>
    <w:rsid w:val="002A5AA0"/>
    <w:pPr>
      <w:adjustRightInd w:val="0"/>
      <w:snapToGrid w:val="0"/>
      <w:spacing w:before="120" w:after="120"/>
      <w:jc w:val="center"/>
    </w:pPr>
    <w:rPr>
      <w:sz w:val="22"/>
      <w:lang w:eastAsia="en-GB"/>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character" w:customStyle="1" w:styleId="UnresolvedMention">
    <w:name w:val="Unresolved Mention"/>
    <w:basedOn w:val="DefaultParagraphFont"/>
    <w:uiPriority w:val="99"/>
    <w:semiHidden/>
    <w:unhideWhenUsed/>
    <w:rsid w:val="00E4359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mali@kln.ac.l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zkfcTligN40SceQ7+TlIVTCfQ==">AMUW2mVRU5RF58XomwFumQL8cNgm6MLwyd8YhBTSabor52zrebLDdznAh9f11oYsBBwyas0YV0pNwktvHLtsWMbJwHcgPYKrNEeDCyV2XGgw1lBGXXqCACJeIRgH8AsMYrWwLAe1030E7jo2QaMz+VUW0iECdXk+BA==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PC</cp:lastModifiedBy>
  <cp:revision>7</cp:revision>
  <dcterms:created xsi:type="dcterms:W3CDTF">2021-09-21T05:49:00Z</dcterms:created>
  <dcterms:modified xsi:type="dcterms:W3CDTF">2024-10-18T09:56:00Z</dcterms:modified>
</cp:coreProperties>
</file>