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7023" w14:textId="34C7BBB9" w:rsidR="001073D0" w:rsidRDefault="009E25A3" w:rsidP="00C7658E">
      <w:pPr>
        <w:spacing w:after="0" w:line="240" w:lineRule="auto"/>
        <w:jc w:val="right"/>
        <w:rPr>
          <w:b/>
          <w:i/>
          <w:szCs w:val="24"/>
        </w:rPr>
      </w:pPr>
      <w:r w:rsidRPr="001073D0">
        <w:rPr>
          <w:rFonts w:cs="Calibri"/>
          <w:b/>
          <w:bCs/>
          <w:i/>
        </w:rPr>
        <w:t>Abstract ID:</w:t>
      </w:r>
      <w:r>
        <w:rPr>
          <w:rFonts w:cs="Calibri"/>
          <w:b/>
          <w:bCs/>
          <w:i/>
        </w:rPr>
        <w:t xml:space="preserve"> </w:t>
      </w:r>
      <w:r w:rsidRPr="00871F63">
        <w:rPr>
          <w:b/>
          <w:i/>
          <w:szCs w:val="24"/>
        </w:rPr>
        <w:t>(for official use only)</w:t>
      </w:r>
    </w:p>
    <w:p w14:paraId="6D796B44" w14:textId="013A9FF1" w:rsidR="009E25A3" w:rsidRDefault="009E25A3" w:rsidP="00C7658E">
      <w:pPr>
        <w:spacing w:after="0" w:line="240" w:lineRule="auto"/>
        <w:jc w:val="right"/>
        <w:rPr>
          <w:b/>
          <w:bCs/>
        </w:rPr>
      </w:pPr>
    </w:p>
    <w:p w14:paraId="41168F9B" w14:textId="77777777" w:rsidR="00C7658E" w:rsidRPr="009E25A3" w:rsidRDefault="00C7658E" w:rsidP="00C7658E">
      <w:pPr>
        <w:spacing w:after="0" w:line="240" w:lineRule="auto"/>
        <w:jc w:val="right"/>
        <w:rPr>
          <w:b/>
          <w:bCs/>
        </w:rPr>
      </w:pPr>
    </w:p>
    <w:p w14:paraId="28BFB4F9" w14:textId="2DDA73B6" w:rsidR="00A6409A" w:rsidRDefault="00276E1C" w:rsidP="00C7658E">
      <w:pPr>
        <w:spacing w:after="0" w:line="240" w:lineRule="auto"/>
        <w:jc w:val="center"/>
        <w:rPr>
          <w:b/>
          <w:szCs w:val="24"/>
        </w:rPr>
      </w:pPr>
      <w:r w:rsidRPr="00276E1C">
        <w:rPr>
          <w:b/>
          <w:szCs w:val="24"/>
        </w:rPr>
        <w:t xml:space="preserve">DETECTION OF </w:t>
      </w:r>
      <w:r w:rsidRPr="004272EB">
        <w:rPr>
          <w:b/>
          <w:i/>
          <w:szCs w:val="24"/>
        </w:rPr>
        <w:t>IS6110</w:t>
      </w:r>
      <w:r w:rsidRPr="00276E1C">
        <w:rPr>
          <w:b/>
          <w:szCs w:val="24"/>
        </w:rPr>
        <w:t xml:space="preserve"> (INSERTION SEQUENCE) IN SERUM OF TUBERCULOSIS PATIENTS REPORTED TO KANDY CHEST CLINIC</w:t>
      </w:r>
    </w:p>
    <w:p w14:paraId="5BD3E666" w14:textId="77777777" w:rsidR="00C055C4" w:rsidRPr="00C7658E" w:rsidRDefault="00C055C4" w:rsidP="00C7658E">
      <w:pPr>
        <w:spacing w:after="0" w:line="240" w:lineRule="auto"/>
        <w:jc w:val="center"/>
        <w:rPr>
          <w:b/>
          <w:szCs w:val="24"/>
        </w:rPr>
      </w:pPr>
    </w:p>
    <w:p w14:paraId="6E3B97E2" w14:textId="77777777" w:rsidR="00276E1C" w:rsidRPr="00276E1C" w:rsidRDefault="00276E1C" w:rsidP="00276E1C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222222"/>
          <w:szCs w:val="24"/>
          <w:shd w:val="clear" w:color="auto" w:fill="FFFFFF"/>
        </w:rPr>
      </w:pPr>
      <w:r w:rsidRPr="00276E1C">
        <w:rPr>
          <w:b/>
          <w:iCs/>
          <w:color w:val="222222"/>
          <w:szCs w:val="24"/>
          <w:u w:val="single"/>
          <w:shd w:val="clear" w:color="auto" w:fill="FFFFFF"/>
        </w:rPr>
        <w:t>S. Saseevan</w:t>
      </w:r>
      <w:r w:rsidRPr="00276E1C">
        <w:rPr>
          <w:b/>
          <w:iCs/>
          <w:color w:val="222222"/>
          <w:szCs w:val="24"/>
          <w:u w:val="single"/>
          <w:shd w:val="clear" w:color="auto" w:fill="FFFFFF"/>
          <w:vertAlign w:val="superscript"/>
        </w:rPr>
        <w:t>1,2</w:t>
      </w:r>
      <w:r w:rsidRPr="00276E1C">
        <w:rPr>
          <w:b/>
          <w:iCs/>
          <w:color w:val="222222"/>
          <w:szCs w:val="24"/>
          <w:shd w:val="clear" w:color="auto" w:fill="FFFFFF"/>
        </w:rPr>
        <w:t>, R.I.S Karunathilaka</w:t>
      </w:r>
      <w:r w:rsidRPr="00276E1C">
        <w:rPr>
          <w:b/>
          <w:iCs/>
          <w:color w:val="222222"/>
          <w:szCs w:val="24"/>
          <w:shd w:val="clear" w:color="auto" w:fill="FFFFFF"/>
          <w:vertAlign w:val="superscript"/>
        </w:rPr>
        <w:t>1</w:t>
      </w:r>
      <w:r w:rsidRPr="00276E1C">
        <w:rPr>
          <w:b/>
          <w:iCs/>
          <w:color w:val="222222"/>
          <w:szCs w:val="24"/>
          <w:shd w:val="clear" w:color="auto" w:fill="FFFFFF"/>
        </w:rPr>
        <w:t>, W.R.U.A Bandara</w:t>
      </w:r>
      <w:r w:rsidRPr="00276E1C">
        <w:rPr>
          <w:b/>
          <w:iCs/>
          <w:color w:val="222222"/>
          <w:szCs w:val="24"/>
          <w:shd w:val="clear" w:color="auto" w:fill="FFFFFF"/>
          <w:vertAlign w:val="superscript"/>
        </w:rPr>
        <w:t>1</w:t>
      </w:r>
      <w:r w:rsidRPr="00276E1C">
        <w:rPr>
          <w:b/>
          <w:iCs/>
          <w:color w:val="222222"/>
          <w:szCs w:val="24"/>
          <w:shd w:val="clear" w:color="auto" w:fill="FFFFFF"/>
        </w:rPr>
        <w:t>, D. Madegedara</w:t>
      </w:r>
      <w:r w:rsidRPr="00276E1C">
        <w:rPr>
          <w:b/>
          <w:iCs/>
          <w:color w:val="222222"/>
          <w:szCs w:val="24"/>
          <w:shd w:val="clear" w:color="auto" w:fill="FFFFFF"/>
          <w:vertAlign w:val="superscript"/>
        </w:rPr>
        <w:t>3</w:t>
      </w:r>
      <w:r w:rsidRPr="00276E1C">
        <w:rPr>
          <w:b/>
          <w:iCs/>
          <w:color w:val="222222"/>
          <w:szCs w:val="24"/>
          <w:shd w:val="clear" w:color="auto" w:fill="FFFFFF"/>
        </w:rPr>
        <w:t>, D. N Magana-Arachchi</w:t>
      </w:r>
      <w:r w:rsidRPr="00276E1C">
        <w:rPr>
          <w:b/>
          <w:iCs/>
          <w:color w:val="222222"/>
          <w:szCs w:val="24"/>
          <w:shd w:val="clear" w:color="auto" w:fill="FFFFFF"/>
          <w:vertAlign w:val="superscript"/>
        </w:rPr>
        <w:t>1*</w:t>
      </w:r>
    </w:p>
    <w:p w14:paraId="2B4F04CD" w14:textId="7A46D441" w:rsid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>
        <w:rPr>
          <w:i/>
          <w:color w:val="222222"/>
          <w:shd w:val="clear" w:color="auto" w:fill="FFFFFF"/>
          <w:vertAlign w:val="superscript"/>
        </w:rPr>
        <w:t>1</w:t>
      </w:r>
      <w:r w:rsidR="00276E1C" w:rsidRPr="00276E1C">
        <w:rPr>
          <w:i/>
          <w:color w:val="222222"/>
          <w:sz w:val="20"/>
          <w:szCs w:val="18"/>
          <w:shd w:val="clear" w:color="auto" w:fill="FFFFFF"/>
        </w:rPr>
        <w:t>National Institute of Fundamental Studies, Hantana Road, Kandy</w:t>
      </w:r>
    </w:p>
    <w:p w14:paraId="1177E69F" w14:textId="3B36C1AD" w:rsid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>
        <w:rPr>
          <w:i/>
          <w:color w:val="222222"/>
          <w:sz w:val="20"/>
          <w:szCs w:val="18"/>
          <w:shd w:val="clear" w:color="auto" w:fill="FFFFFF"/>
          <w:vertAlign w:val="superscript"/>
        </w:rPr>
        <w:t>2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Department of </w:t>
      </w:r>
      <w:r w:rsidR="00276E1C">
        <w:rPr>
          <w:i/>
          <w:color w:val="222222"/>
          <w:sz w:val="20"/>
          <w:szCs w:val="18"/>
          <w:shd w:val="clear" w:color="auto" w:fill="FFFFFF"/>
        </w:rPr>
        <w:t>Medical Laboratory Sciences</w:t>
      </w:r>
      <w:r w:rsidRPr="00351978">
        <w:rPr>
          <w:i/>
          <w:color w:val="222222"/>
          <w:sz w:val="20"/>
          <w:szCs w:val="18"/>
          <w:shd w:val="clear" w:color="auto" w:fill="FFFFFF"/>
        </w:rPr>
        <w:t xml:space="preserve">, </w:t>
      </w:r>
      <w:r w:rsidR="00276E1C" w:rsidRPr="00276E1C">
        <w:rPr>
          <w:i/>
          <w:color w:val="222222"/>
          <w:sz w:val="20"/>
          <w:szCs w:val="18"/>
          <w:shd w:val="clear" w:color="auto" w:fill="FFFFFF"/>
        </w:rPr>
        <w:t>Faculty of Allied Health Sciences, University of Jaffna</w:t>
      </w:r>
      <w:r w:rsidRPr="00351978">
        <w:rPr>
          <w:i/>
          <w:color w:val="222222"/>
          <w:sz w:val="20"/>
          <w:szCs w:val="18"/>
          <w:shd w:val="clear" w:color="auto" w:fill="FFFFFF"/>
        </w:rPr>
        <w:t>.</w:t>
      </w:r>
    </w:p>
    <w:p w14:paraId="4F3A685C" w14:textId="1AEC35B8" w:rsidR="00276E1C" w:rsidRDefault="00276E1C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 w:rsidRPr="00276E1C">
        <w:rPr>
          <w:i/>
          <w:color w:val="222222"/>
          <w:sz w:val="20"/>
          <w:szCs w:val="18"/>
          <w:shd w:val="clear" w:color="auto" w:fill="FFFFFF"/>
          <w:vertAlign w:val="superscript"/>
        </w:rPr>
        <w:t>3</w:t>
      </w:r>
      <w:r w:rsidRPr="00276E1C">
        <w:rPr>
          <w:i/>
          <w:color w:val="222222"/>
          <w:sz w:val="20"/>
          <w:szCs w:val="18"/>
          <w:shd w:val="clear" w:color="auto" w:fill="FFFFFF"/>
        </w:rPr>
        <w:t>Respiratory Disease Treatment Unit, General Teaching Hospital, Kandy.</w:t>
      </w:r>
    </w:p>
    <w:p w14:paraId="45B85551" w14:textId="69A9ED5F" w:rsidR="009E25A3" w:rsidRPr="009E25A3" w:rsidRDefault="009E25A3" w:rsidP="00C7658E">
      <w:pPr>
        <w:autoSpaceDE w:val="0"/>
        <w:autoSpaceDN w:val="0"/>
        <w:adjustRightInd w:val="0"/>
        <w:spacing w:after="0" w:line="240" w:lineRule="auto"/>
        <w:jc w:val="center"/>
        <w:rPr>
          <w:i/>
          <w:color w:val="222222"/>
          <w:sz w:val="20"/>
          <w:szCs w:val="18"/>
          <w:shd w:val="clear" w:color="auto" w:fill="FFFFFF"/>
        </w:rPr>
      </w:pPr>
      <w:r w:rsidRPr="00351978">
        <w:rPr>
          <w:i/>
          <w:color w:val="222222"/>
          <w:sz w:val="20"/>
          <w:szCs w:val="18"/>
          <w:shd w:val="clear" w:color="auto" w:fill="FFFFFF"/>
          <w:vertAlign w:val="superscript"/>
        </w:rPr>
        <w:t>*</w:t>
      </w:r>
      <w:r w:rsidR="00276E1C" w:rsidRPr="00276E1C">
        <w:rPr>
          <w:i/>
          <w:color w:val="222222"/>
          <w:sz w:val="20"/>
          <w:szCs w:val="18"/>
          <w:shd w:val="clear" w:color="auto" w:fill="FFFFFF"/>
        </w:rPr>
        <w:t>dhammika.ma@nifs.ac.lk</w:t>
      </w:r>
    </w:p>
    <w:p w14:paraId="69D38141" w14:textId="77777777" w:rsidR="009E25A3" w:rsidRDefault="009E25A3" w:rsidP="00C7658E">
      <w:pPr>
        <w:pStyle w:val="NoSpacing"/>
        <w:rPr>
          <w:rFonts w:ascii="Times New Roman" w:eastAsiaTheme="minorHAnsi" w:hAnsi="Times New Roman"/>
          <w:i/>
          <w:iCs/>
          <w:sz w:val="24"/>
          <w:szCs w:val="24"/>
          <w:lang w:val="en-GB"/>
        </w:rPr>
      </w:pPr>
    </w:p>
    <w:p w14:paraId="71C937C6" w14:textId="567FD252" w:rsidR="002D6D52" w:rsidRDefault="00276E1C" w:rsidP="00C7658E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 w:themeColor="text1"/>
        </w:rPr>
      </w:pPr>
      <w:r w:rsidRPr="00241714">
        <w:rPr>
          <w:szCs w:val="24"/>
        </w:rPr>
        <w:t xml:space="preserve">Tuberculosis (TB) remains a global health challenge, necessitating the development of more sensitive and non-invasive diagnostic tools. This preliminary cross-sectional study explores the potential of detecting the </w:t>
      </w:r>
      <w:r w:rsidRPr="00241714">
        <w:rPr>
          <w:i/>
          <w:szCs w:val="24"/>
        </w:rPr>
        <w:t>IS6110</w:t>
      </w:r>
      <w:r w:rsidRPr="00241714">
        <w:rPr>
          <w:szCs w:val="24"/>
        </w:rPr>
        <w:t xml:space="preserve"> insertion sequence, a unique genomic marker of </w:t>
      </w:r>
      <w:r w:rsidRPr="00241714">
        <w:rPr>
          <w:i/>
          <w:szCs w:val="24"/>
        </w:rPr>
        <w:t>Mycobacterium tuberculosis</w:t>
      </w:r>
      <w:r w:rsidRPr="00241714">
        <w:rPr>
          <w:szCs w:val="24"/>
        </w:rPr>
        <w:t xml:space="preserve">, in serum as a novel diagnostic approach. The study protocol was approved by the Ethics Review Committee, General Hospital, Kandy. Blood samples were collected from Active TB (n = 20), Latent TB (n = 22), and contact tracing (n = 28) patients attending to </w:t>
      </w:r>
      <w:r w:rsidR="00502FE5" w:rsidRPr="00241714">
        <w:rPr>
          <w:szCs w:val="24"/>
        </w:rPr>
        <w:t xml:space="preserve">the </w:t>
      </w:r>
      <w:r w:rsidRPr="00241714">
        <w:rPr>
          <w:szCs w:val="24"/>
        </w:rPr>
        <w:t>Kandy</w:t>
      </w:r>
      <w:r w:rsidR="00502FE5" w:rsidRPr="00241714">
        <w:rPr>
          <w:szCs w:val="24"/>
        </w:rPr>
        <w:t xml:space="preserve"> chest clinic</w:t>
      </w:r>
      <w:r w:rsidRPr="00241714">
        <w:rPr>
          <w:szCs w:val="24"/>
        </w:rPr>
        <w:t xml:space="preserve">. RNA was extracted from </w:t>
      </w:r>
      <w:r w:rsidR="006C3DF8" w:rsidRPr="00241714">
        <w:rPr>
          <w:szCs w:val="24"/>
        </w:rPr>
        <w:t xml:space="preserve">the </w:t>
      </w:r>
      <w:r w:rsidRPr="00241714">
        <w:rPr>
          <w:szCs w:val="24"/>
        </w:rPr>
        <w:t>serum samples using the guanidium thiocyanate-phenol-chloroform extraction method. Then extracted RNA was quantified and subjected to complementary DNA (cDNA) synthesis using GoScript</w:t>
      </w:r>
      <w:r w:rsidRPr="00241714">
        <w:rPr>
          <w:szCs w:val="24"/>
          <w:vertAlign w:val="superscript"/>
        </w:rPr>
        <w:t>TM</w:t>
      </w:r>
      <w:r w:rsidRPr="00241714">
        <w:rPr>
          <w:szCs w:val="24"/>
        </w:rPr>
        <w:t xml:space="preserve"> Reverse Transcription System according to the manufacturer’s guidelines. A conventional Polymerase </w:t>
      </w:r>
      <w:r w:rsidR="006C3DF8" w:rsidRPr="00241714">
        <w:rPr>
          <w:szCs w:val="24"/>
        </w:rPr>
        <w:t>C</w:t>
      </w:r>
      <w:r w:rsidRPr="00241714">
        <w:rPr>
          <w:szCs w:val="24"/>
        </w:rPr>
        <w:t xml:space="preserve">hain </w:t>
      </w:r>
      <w:r w:rsidR="006C3DF8" w:rsidRPr="00241714">
        <w:rPr>
          <w:szCs w:val="24"/>
        </w:rPr>
        <w:t>R</w:t>
      </w:r>
      <w:r w:rsidRPr="00241714">
        <w:rPr>
          <w:szCs w:val="24"/>
        </w:rPr>
        <w:t>eaction</w:t>
      </w:r>
      <w:r w:rsidR="006C3DF8" w:rsidRPr="00241714">
        <w:rPr>
          <w:szCs w:val="24"/>
        </w:rPr>
        <w:t xml:space="preserve"> (PCR)</w:t>
      </w:r>
      <w:r w:rsidRPr="00241714">
        <w:rPr>
          <w:szCs w:val="24"/>
        </w:rPr>
        <w:t xml:space="preserve"> was carried out using 6 ng of template cDNA with </w:t>
      </w:r>
      <w:r w:rsidRPr="00241714">
        <w:rPr>
          <w:i/>
          <w:szCs w:val="24"/>
        </w:rPr>
        <w:t>IS6110</w:t>
      </w:r>
      <w:r w:rsidRPr="00241714">
        <w:rPr>
          <w:szCs w:val="24"/>
        </w:rPr>
        <w:t xml:space="preserve"> insertion sequence-specific primer pairs Pt8: 5’-GTGCGGATGGTCGCAGAGAT-3’, Pt9: 5’-CTCGATGCCCTCACGGTTCA-3’. The H37Rv bacterial DNA was used as a positive control for this study. The amplified PCR products were run on 2% agarose gel along with 100</w:t>
      </w:r>
      <w:r w:rsidR="00DC6AF4" w:rsidRPr="00241714">
        <w:rPr>
          <w:szCs w:val="24"/>
        </w:rPr>
        <w:t xml:space="preserve"> </w:t>
      </w:r>
      <w:r w:rsidRPr="00241714">
        <w:rPr>
          <w:szCs w:val="24"/>
        </w:rPr>
        <w:t xml:space="preserve">bp ladder and the negative control. The positive results obtained from the conventional PCR amplifications were confirmed with real-time PCR by using the primer pairs specific for </w:t>
      </w:r>
      <w:r w:rsidRPr="00241714">
        <w:rPr>
          <w:i/>
          <w:szCs w:val="24"/>
        </w:rPr>
        <w:t>IS6110</w:t>
      </w:r>
      <w:r w:rsidRPr="00241714">
        <w:rPr>
          <w:szCs w:val="24"/>
        </w:rPr>
        <w:t xml:space="preserve"> insertion gene, INS1, F: 5’-CGTGAGGGCATCGAGGTGGC-3’ and INS2, R: 5’-GCGTAGGCGTCGGTGACAAA-3’. The results revealed that the </w:t>
      </w:r>
      <w:r w:rsidRPr="00241714">
        <w:rPr>
          <w:i/>
          <w:szCs w:val="24"/>
        </w:rPr>
        <w:t>IS6110</w:t>
      </w:r>
      <w:r w:rsidRPr="00241714">
        <w:rPr>
          <w:szCs w:val="24"/>
        </w:rPr>
        <w:t xml:space="preserve"> gene was detected in 45% of serum samples (9 out of 20) collected from active TB patients. Latent TB and contract tracing patients did not possess the </w:t>
      </w:r>
      <w:r w:rsidRPr="00241714">
        <w:rPr>
          <w:i/>
          <w:szCs w:val="24"/>
        </w:rPr>
        <w:t>IS6110</w:t>
      </w:r>
      <w:r w:rsidRPr="00241714">
        <w:rPr>
          <w:szCs w:val="24"/>
        </w:rPr>
        <w:t xml:space="preserve"> gene in their serum samples. In conclusion, the serum samples in this study did not demonstrate the potential to detect the MTB-specific mRNA transcript in individuals with latent TB (LTB) and contact tracing (CT). However, it may suggest detecting the bacterial transcript in active TB</w:t>
      </w:r>
      <w:r w:rsidR="00315AED" w:rsidRPr="00241714">
        <w:rPr>
          <w:szCs w:val="24"/>
        </w:rPr>
        <w:t xml:space="preserve"> </w:t>
      </w:r>
      <w:r w:rsidRPr="00241714">
        <w:rPr>
          <w:szCs w:val="24"/>
        </w:rPr>
        <w:t>patients. Nevertheless, further improvements are necessary for it to be considered a reliable biomarker for active TB.</w:t>
      </w:r>
    </w:p>
    <w:p w14:paraId="7F1B1595" w14:textId="77777777" w:rsidR="00276E1C" w:rsidRDefault="00276E1C" w:rsidP="00C7658E">
      <w:pPr>
        <w:spacing w:after="0" w:line="240" w:lineRule="auto"/>
        <w:jc w:val="both"/>
        <w:rPr>
          <w:rFonts w:eastAsia="Times New Roman"/>
          <w:b/>
          <w:bCs/>
          <w:color w:val="000000" w:themeColor="text1"/>
        </w:rPr>
      </w:pPr>
    </w:p>
    <w:p w14:paraId="7020AEFD" w14:textId="2A7E81D2" w:rsidR="00B20310" w:rsidRDefault="00B20310" w:rsidP="00C7658E">
      <w:pPr>
        <w:spacing w:after="0" w:line="240" w:lineRule="auto"/>
        <w:jc w:val="both"/>
        <w:rPr>
          <w:rFonts w:eastAsia="Times New Roman"/>
          <w:b/>
          <w:bCs/>
          <w:i/>
          <w:iCs/>
          <w:color w:val="000000" w:themeColor="text1"/>
        </w:rPr>
      </w:pPr>
      <w:r w:rsidRPr="002D6D52">
        <w:rPr>
          <w:rFonts w:eastAsia="Times New Roman"/>
          <w:b/>
          <w:bCs/>
          <w:color w:val="000000" w:themeColor="text1"/>
        </w:rPr>
        <w:t>Keywords</w:t>
      </w:r>
      <w:r w:rsidRPr="00B20310">
        <w:rPr>
          <w:rFonts w:eastAsia="Times New Roman"/>
          <w:b/>
          <w:bCs/>
          <w:i/>
          <w:iCs/>
          <w:color w:val="000000" w:themeColor="text1"/>
        </w:rPr>
        <w:t>:</w:t>
      </w:r>
      <w:r>
        <w:rPr>
          <w:rFonts w:eastAsia="Times New Roman"/>
          <w:b/>
          <w:bCs/>
          <w:i/>
          <w:iCs/>
          <w:color w:val="000000" w:themeColor="text1"/>
        </w:rPr>
        <w:t xml:space="preserve"> </w:t>
      </w:r>
      <w:r w:rsidR="00276E1C" w:rsidRPr="00276E1C">
        <w:rPr>
          <w:rFonts w:eastAsia="Times New Roman"/>
          <w:bCs/>
          <w:i/>
          <w:iCs/>
          <w:color w:val="000000" w:themeColor="text1"/>
        </w:rPr>
        <w:t>Active tuberculosis, IS6110 insertion sequence, latent tuberculosis, polymerase chain reaction, and serum</w:t>
      </w:r>
    </w:p>
    <w:p w14:paraId="3DA5EA08" w14:textId="21100947" w:rsidR="002D6D52" w:rsidRDefault="002D6D52" w:rsidP="00C7658E">
      <w:pPr>
        <w:spacing w:after="0" w:line="240" w:lineRule="auto"/>
        <w:rPr>
          <w:rFonts w:eastAsia="Times New Roman"/>
          <w:b/>
          <w:bCs/>
          <w:i/>
          <w:iCs/>
          <w:color w:val="000000" w:themeColor="text1"/>
        </w:rPr>
      </w:pPr>
    </w:p>
    <w:p w14:paraId="6FBFF1D1" w14:textId="4ED82ADE" w:rsidR="002D6D52" w:rsidRPr="00AA41EE" w:rsidRDefault="002D6D52" w:rsidP="00C7658E">
      <w:pPr>
        <w:spacing w:after="0" w:line="240" w:lineRule="auto"/>
        <w:rPr>
          <w:bCs/>
          <w:i/>
        </w:rPr>
      </w:pPr>
      <w:r w:rsidRPr="00AA41EE">
        <w:rPr>
          <w:bCs/>
          <w:i/>
        </w:rPr>
        <w:t>Financial assistance from</w:t>
      </w:r>
      <w:r w:rsidR="00276E1C" w:rsidRPr="00276E1C">
        <w:t xml:space="preserve"> </w:t>
      </w:r>
      <w:r w:rsidR="00276E1C">
        <w:t xml:space="preserve">the </w:t>
      </w:r>
      <w:r w:rsidR="00276E1C" w:rsidRPr="00276E1C">
        <w:rPr>
          <w:bCs/>
          <w:i/>
        </w:rPr>
        <w:t xml:space="preserve">National Research Council of Sri Lanka </w:t>
      </w:r>
      <w:r w:rsidRPr="00AA41EE">
        <w:rPr>
          <w:bCs/>
        </w:rPr>
        <w:t>(</w:t>
      </w:r>
      <w:r w:rsidRPr="00AA41EE">
        <w:rPr>
          <w:bCs/>
          <w:i/>
        </w:rPr>
        <w:t>Grant No</w:t>
      </w:r>
      <w:r w:rsidR="00276E1C">
        <w:rPr>
          <w:bCs/>
          <w:i/>
        </w:rPr>
        <w:t xml:space="preserve"> </w:t>
      </w:r>
      <w:r w:rsidR="00276E1C" w:rsidRPr="00276E1C">
        <w:rPr>
          <w:bCs/>
          <w:i/>
        </w:rPr>
        <w:t>22-027</w:t>
      </w:r>
      <w:r w:rsidR="009E25A3" w:rsidRPr="00AA41EE">
        <w:rPr>
          <w:bCs/>
          <w:i/>
        </w:rPr>
        <w:t>)</w:t>
      </w:r>
      <w:r w:rsidRPr="00AA41EE">
        <w:rPr>
          <w:bCs/>
          <w:i/>
        </w:rPr>
        <w:t xml:space="preserve"> is acknowledged.</w:t>
      </w:r>
    </w:p>
    <w:p w14:paraId="31ACDE88" w14:textId="77777777" w:rsidR="002D6D52" w:rsidRDefault="002D6D52" w:rsidP="00C7658E">
      <w:pPr>
        <w:spacing w:after="0" w:line="240" w:lineRule="auto"/>
        <w:jc w:val="both"/>
        <w:rPr>
          <w:b/>
          <w:bCs/>
          <w:szCs w:val="24"/>
        </w:rPr>
      </w:pPr>
    </w:p>
    <w:p w14:paraId="7F40B07F" w14:textId="77777777" w:rsidR="002D6D52" w:rsidRPr="002D6D52" w:rsidRDefault="002D6D52" w:rsidP="00C7658E">
      <w:pPr>
        <w:spacing w:after="0" w:line="240" w:lineRule="auto"/>
      </w:pPr>
    </w:p>
    <w:sectPr w:rsidR="002D6D52" w:rsidRPr="002D6D52" w:rsidSect="00C7658E">
      <w:headerReference w:type="default" r:id="rId6"/>
      <w:footerReference w:type="default" r:id="rId7"/>
      <w:pgSz w:w="11906" w:h="16838" w:code="9"/>
      <w:pgMar w:top="1418" w:right="1418" w:bottom="1418" w:left="1701" w:header="8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8C67" w14:textId="77777777" w:rsidR="00853C7C" w:rsidRDefault="00853C7C" w:rsidP="00C524C8">
      <w:pPr>
        <w:spacing w:after="0" w:line="240" w:lineRule="auto"/>
      </w:pPr>
      <w:r>
        <w:separator/>
      </w:r>
    </w:p>
  </w:endnote>
  <w:endnote w:type="continuationSeparator" w:id="0">
    <w:p w14:paraId="2AA31E51" w14:textId="77777777" w:rsidR="00853C7C" w:rsidRDefault="00853C7C" w:rsidP="00C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713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EDAF2" w14:textId="25DB96AB" w:rsidR="00FC51DE" w:rsidRDefault="00FC51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6A8B85" w14:textId="77777777" w:rsidR="00FC51DE" w:rsidRDefault="00FC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C6C5" w14:textId="77777777" w:rsidR="00853C7C" w:rsidRDefault="00853C7C" w:rsidP="00C524C8">
      <w:pPr>
        <w:spacing w:after="0" w:line="240" w:lineRule="auto"/>
      </w:pPr>
      <w:r>
        <w:separator/>
      </w:r>
    </w:p>
  </w:footnote>
  <w:footnote w:type="continuationSeparator" w:id="0">
    <w:p w14:paraId="27A2C1E1" w14:textId="77777777" w:rsidR="00853C7C" w:rsidRDefault="00853C7C" w:rsidP="00C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60F1" w14:textId="69198CF7" w:rsidR="009E25A3" w:rsidRDefault="009E25A3" w:rsidP="009E25A3">
    <w:pPr>
      <w:spacing w:after="0"/>
      <w:jc w:val="center"/>
      <w:rPr>
        <w:rFonts w:cs="Calibri"/>
        <w:i/>
      </w:rPr>
    </w:pPr>
    <w:r w:rsidRPr="001073D0">
      <w:rPr>
        <w:rFonts w:cs="Calibri"/>
        <w:i/>
      </w:rPr>
      <w:t>Proceedings of the</w:t>
    </w:r>
    <w:r>
      <w:rPr>
        <w:rFonts w:cs="Calibri"/>
        <w:i/>
      </w:rPr>
      <w:t xml:space="preserve"> 12</w:t>
    </w:r>
    <w:r w:rsidRPr="001073D0">
      <w:rPr>
        <w:rFonts w:cs="Calibri"/>
        <w:i/>
        <w:vertAlign w:val="superscript"/>
      </w:rPr>
      <w:t>th</w:t>
    </w:r>
    <w:r w:rsidRPr="001073D0">
      <w:rPr>
        <w:rFonts w:cs="Calibri"/>
        <w:i/>
      </w:rPr>
      <w:t xml:space="preserve"> Annual Science Research</w:t>
    </w:r>
    <w:r>
      <w:rPr>
        <w:rFonts w:cs="Calibri"/>
        <w:i/>
      </w:rPr>
      <w:t xml:space="preserve"> </w:t>
    </w:r>
    <w:r w:rsidRPr="001073D0">
      <w:rPr>
        <w:rFonts w:cs="Calibri"/>
        <w:i/>
      </w:rPr>
      <w:t>Session, FAS, SEUSL, Sri Lanka</w:t>
    </w:r>
  </w:p>
  <w:p w14:paraId="7F8DBE96" w14:textId="24C2B8D0" w:rsidR="009E25A3" w:rsidRPr="001073D0" w:rsidRDefault="009E25A3" w:rsidP="009E25A3">
    <w:pPr>
      <w:spacing w:after="0"/>
      <w:jc w:val="center"/>
    </w:pPr>
    <w:r>
      <w:rPr>
        <w:rFonts w:cs="Calibri"/>
        <w:i/>
      </w:rPr>
      <w:t>14</w:t>
    </w:r>
    <w:r w:rsidRPr="001073D0">
      <w:rPr>
        <w:rFonts w:cs="Calibri"/>
        <w:i/>
        <w:vertAlign w:val="superscript"/>
      </w:rPr>
      <w:t>th</w:t>
    </w:r>
    <w:r>
      <w:rPr>
        <w:rFonts w:cs="Calibri"/>
        <w:i/>
      </w:rPr>
      <w:t xml:space="preserve"> December 2023</w:t>
    </w:r>
  </w:p>
  <w:p w14:paraId="4C2DC029" w14:textId="22A6E386" w:rsidR="00C524C8" w:rsidRDefault="00C52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tjAxtDA0MTE0MDVV0lEKTi0uzszPAykwqgUAVMlIYywAAAA="/>
  </w:docVars>
  <w:rsids>
    <w:rsidRoot w:val="00B20310"/>
    <w:rsid w:val="00037C69"/>
    <w:rsid w:val="00074602"/>
    <w:rsid w:val="000A7177"/>
    <w:rsid w:val="000E2BAB"/>
    <w:rsid w:val="001073D0"/>
    <w:rsid w:val="001C76AD"/>
    <w:rsid w:val="001E6DFD"/>
    <w:rsid w:val="00241714"/>
    <w:rsid w:val="00247202"/>
    <w:rsid w:val="00276E1C"/>
    <w:rsid w:val="002C30F4"/>
    <w:rsid w:val="002C5245"/>
    <w:rsid w:val="002D6D52"/>
    <w:rsid w:val="00315AED"/>
    <w:rsid w:val="00351978"/>
    <w:rsid w:val="003A029C"/>
    <w:rsid w:val="003C7A29"/>
    <w:rsid w:val="004272EB"/>
    <w:rsid w:val="004A4FDA"/>
    <w:rsid w:val="00502FE5"/>
    <w:rsid w:val="00517951"/>
    <w:rsid w:val="00547C6A"/>
    <w:rsid w:val="00593DFC"/>
    <w:rsid w:val="005E1944"/>
    <w:rsid w:val="00693B3D"/>
    <w:rsid w:val="006C3DF8"/>
    <w:rsid w:val="006F7904"/>
    <w:rsid w:val="0075532C"/>
    <w:rsid w:val="007D07A4"/>
    <w:rsid w:val="007E5B33"/>
    <w:rsid w:val="00853C7C"/>
    <w:rsid w:val="009B3C36"/>
    <w:rsid w:val="009E25A3"/>
    <w:rsid w:val="00A1244E"/>
    <w:rsid w:val="00A6409A"/>
    <w:rsid w:val="00B20310"/>
    <w:rsid w:val="00BA7DEE"/>
    <w:rsid w:val="00C055C4"/>
    <w:rsid w:val="00C524C8"/>
    <w:rsid w:val="00C7658E"/>
    <w:rsid w:val="00C8395B"/>
    <w:rsid w:val="00C87BF9"/>
    <w:rsid w:val="00CE6258"/>
    <w:rsid w:val="00D83E24"/>
    <w:rsid w:val="00DC6AF4"/>
    <w:rsid w:val="00E7164D"/>
    <w:rsid w:val="00ED4F5D"/>
    <w:rsid w:val="00F3693A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CBA42"/>
  <w15:chartTrackingRefBased/>
  <w15:docId w15:val="{7C23AE40-1D98-4DBB-9D7A-91BB4F6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10"/>
    <w:pPr>
      <w:spacing w:after="200" w:line="276" w:lineRule="auto"/>
    </w:pPr>
    <w:rPr>
      <w:rFonts w:ascii="Times New Roman" w:hAnsi="Times New Roman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310"/>
    <w:pPr>
      <w:spacing w:after="0" w:line="240" w:lineRule="auto"/>
    </w:pPr>
    <w:rPr>
      <w:rFonts w:ascii="Calibri" w:eastAsia="Calibri" w:hAnsi="Calibri" w:cs="Times New Roman"/>
      <w:lang w:val="en-US" w:bidi="ar-SA"/>
    </w:rPr>
  </w:style>
  <w:style w:type="paragraph" w:styleId="NormalWeb">
    <w:name w:val="Normal (Web)"/>
    <w:basedOn w:val="Normal"/>
    <w:uiPriority w:val="99"/>
    <w:unhideWhenUsed/>
    <w:rsid w:val="00B20310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5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51"/>
    <w:rPr>
      <w:rFonts w:ascii="Times New Roman" w:hAnsi="Times New Roman" w:cs="Times New Roman"/>
      <w:sz w:val="18"/>
      <w:szCs w:val="18"/>
      <w:lang w:val="en-GB" w:bidi="ar-SA"/>
    </w:rPr>
  </w:style>
  <w:style w:type="paragraph" w:styleId="Revision">
    <w:name w:val="Revision"/>
    <w:hidden/>
    <w:uiPriority w:val="99"/>
    <w:semiHidden/>
    <w:rsid w:val="004272EB"/>
    <w:pPr>
      <w:spacing w:after="0" w:line="240" w:lineRule="auto"/>
    </w:pPr>
    <w:rPr>
      <w:rFonts w:ascii="Times New Roman" w:hAnsi="Times New Roman"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2417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ASRS 2023</dc:creator>
  <cp:keywords/>
  <dc:description/>
  <cp:lastModifiedBy>sumana sivalingam</cp:lastModifiedBy>
  <cp:revision>3</cp:revision>
  <dcterms:created xsi:type="dcterms:W3CDTF">2023-11-29T03:17:00Z</dcterms:created>
  <dcterms:modified xsi:type="dcterms:W3CDTF">2023-11-29T04:55:00Z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ec4b6a8ff06cd4fcc254911a799284063f591647d3651183bd9dfa3bd4c89349</vt:lpwstr>
  </property>
</Properties>
</file>